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46AE" w14:textId="77777777" w:rsidR="002E5953" w:rsidRPr="003F7299" w:rsidRDefault="002E5953" w:rsidP="00232A18">
      <w:pPr>
        <w:tabs>
          <w:tab w:val="left" w:pos="288"/>
          <w:tab w:val="left" w:pos="1008"/>
          <w:tab w:val="left" w:pos="1728"/>
          <w:tab w:val="left" w:pos="3119"/>
          <w:tab w:val="left" w:pos="3888"/>
          <w:tab w:val="left" w:pos="5328"/>
          <w:tab w:val="left" w:pos="6048"/>
          <w:tab w:val="left" w:pos="6768"/>
        </w:tabs>
        <w:jc w:val="center"/>
        <w:rPr>
          <w:rFonts w:ascii="Open Sans" w:hAnsi="Open Sans" w:cs="Open Sans"/>
          <w:b/>
          <w:bCs/>
          <w:sz w:val="16"/>
          <w:szCs w:val="16"/>
          <w:u w:val="single"/>
          <w:lang w:val="it-IT"/>
        </w:rPr>
      </w:pPr>
    </w:p>
    <w:p w14:paraId="058E677E" w14:textId="240C1064" w:rsidR="00F25601" w:rsidRPr="003F7299" w:rsidRDefault="00643802" w:rsidP="00232A18">
      <w:pPr>
        <w:tabs>
          <w:tab w:val="left" w:pos="288"/>
          <w:tab w:val="left" w:pos="1008"/>
          <w:tab w:val="left" w:pos="1728"/>
          <w:tab w:val="left" w:pos="3119"/>
          <w:tab w:val="left" w:pos="3888"/>
          <w:tab w:val="left" w:pos="5328"/>
          <w:tab w:val="left" w:pos="6048"/>
          <w:tab w:val="left" w:pos="6768"/>
        </w:tabs>
        <w:jc w:val="center"/>
        <w:rPr>
          <w:rFonts w:ascii="Open Sans" w:hAnsi="Open Sans" w:cs="Open Sans"/>
          <w:b/>
          <w:bCs/>
          <w:sz w:val="32"/>
          <w:szCs w:val="32"/>
          <w:lang w:val="it-IT"/>
        </w:rPr>
      </w:pPr>
      <w:r w:rsidRPr="005C7ECA">
        <w:rPr>
          <w:rFonts w:ascii="Open Sans" w:hAnsi="Open Sans" w:cs="Open Sans"/>
          <w:b/>
          <w:bCs/>
          <w:sz w:val="32"/>
          <w:szCs w:val="32"/>
          <w:lang w:val="it-IT"/>
        </w:rPr>
        <w:t>COMUNICATO</w:t>
      </w:r>
      <w:r w:rsidR="00F25601" w:rsidRPr="005C7ECA">
        <w:rPr>
          <w:rFonts w:ascii="Open Sans" w:hAnsi="Open Sans" w:cs="Open Sans"/>
          <w:b/>
          <w:bCs/>
          <w:sz w:val="32"/>
          <w:szCs w:val="32"/>
          <w:lang w:val="it-IT"/>
        </w:rPr>
        <w:t xml:space="preserve"> </w:t>
      </w:r>
      <w:r w:rsidR="003900A2" w:rsidRPr="005C7ECA">
        <w:rPr>
          <w:rFonts w:ascii="Open Sans" w:hAnsi="Open Sans" w:cs="Open Sans"/>
          <w:b/>
          <w:bCs/>
          <w:sz w:val="32"/>
          <w:szCs w:val="32"/>
          <w:lang w:val="it-IT"/>
        </w:rPr>
        <w:t>STAMPA</w:t>
      </w:r>
    </w:p>
    <w:p w14:paraId="7D2E4CED" w14:textId="77777777" w:rsidR="00920FF8" w:rsidRPr="001033DB" w:rsidRDefault="00920FF8" w:rsidP="00800ACF">
      <w:pPr>
        <w:tabs>
          <w:tab w:val="left" w:pos="288"/>
          <w:tab w:val="left" w:pos="1008"/>
          <w:tab w:val="left" w:pos="1728"/>
          <w:tab w:val="left" w:pos="3119"/>
          <w:tab w:val="left" w:pos="3888"/>
          <w:tab w:val="left" w:pos="5328"/>
          <w:tab w:val="left" w:pos="6048"/>
          <w:tab w:val="left" w:pos="6768"/>
        </w:tabs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</w:pPr>
    </w:p>
    <w:p w14:paraId="51230D30" w14:textId="399D0CEE" w:rsidR="005C7ECA" w:rsidRPr="00E351CF" w:rsidRDefault="00E351CF" w:rsidP="005C7ECA">
      <w:pPr>
        <w:jc w:val="center"/>
        <w:rPr>
          <w:rFonts w:ascii="Open Sans" w:eastAsia="Times New Roman" w:hAnsi="Open Sans" w:cs="Open Sans"/>
          <w:b/>
          <w:bCs/>
          <w:color w:val="000000" w:themeColor="text1"/>
          <w:sz w:val="28"/>
          <w:szCs w:val="28"/>
          <w:lang w:val="it-IT" w:eastAsia="it-IT"/>
        </w:rPr>
      </w:pPr>
      <w:bookmarkStart w:id="0" w:name="_Hlk196232132"/>
      <w:bookmarkEnd w:id="0"/>
      <w:r w:rsidRPr="00E351CF">
        <w:rPr>
          <w:rFonts w:ascii="Open Sans" w:eastAsia="Times New Roman" w:hAnsi="Open Sans" w:cs="Open Sans"/>
          <w:b/>
          <w:bCs/>
          <w:color w:val="000000" w:themeColor="text1"/>
          <w:sz w:val="28"/>
          <w:szCs w:val="28"/>
          <w:lang w:val="it-IT" w:eastAsia="it-IT"/>
        </w:rPr>
        <w:t>Revisione prezzi, Consulta dei Servizi: Linee Guida MIT passo avanti importante, ora applicazione uniforme e riequilibrio normativo per servizi e forniture</w:t>
      </w:r>
      <w:r w:rsidR="005C7ECA" w:rsidRPr="00E351CF">
        <w:rPr>
          <w:rFonts w:ascii="Open Sans" w:eastAsia="Times New Roman" w:hAnsi="Open Sans" w:cs="Open Sans"/>
          <w:b/>
          <w:bCs/>
          <w:color w:val="000000" w:themeColor="text1"/>
          <w:sz w:val="28"/>
          <w:szCs w:val="28"/>
          <w:lang w:val="it-IT" w:eastAsia="it-IT"/>
        </w:rPr>
        <w:t> </w:t>
      </w:r>
    </w:p>
    <w:p w14:paraId="48BDCA92" w14:textId="77777777" w:rsidR="005C7ECA" w:rsidRPr="005C7ECA" w:rsidRDefault="005C7ECA" w:rsidP="005C7ECA">
      <w:pPr>
        <w:jc w:val="center"/>
        <w:rPr>
          <w:rFonts w:ascii="Open Sans" w:eastAsia="Times New Roman" w:hAnsi="Open Sans" w:cs="Open Sans"/>
          <w:b/>
          <w:bCs/>
          <w:color w:val="000000" w:themeColor="text1"/>
          <w:sz w:val="28"/>
          <w:szCs w:val="28"/>
          <w:lang w:val="it-IT" w:eastAsia="it-IT"/>
        </w:rPr>
      </w:pPr>
      <w:r w:rsidRPr="005C7ECA">
        <w:rPr>
          <w:rFonts w:ascii="Open Sans" w:eastAsia="Times New Roman" w:hAnsi="Open Sans" w:cs="Open Sans"/>
          <w:b/>
          <w:bCs/>
          <w:color w:val="000000" w:themeColor="text1"/>
          <w:sz w:val="28"/>
          <w:szCs w:val="28"/>
          <w:lang w:val="it-IT" w:eastAsia="it-IT"/>
        </w:rPr>
        <w:t> </w:t>
      </w:r>
    </w:p>
    <w:p w14:paraId="34111E9A" w14:textId="653D7FF3" w:rsidR="005C7ECA" w:rsidRPr="00E351CF" w:rsidRDefault="00E351CF" w:rsidP="005C7ECA">
      <w:pPr>
        <w:jc w:val="center"/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it-IT" w:eastAsia="it-IT"/>
        </w:rPr>
      </w:pPr>
      <w:r w:rsidRPr="00E351C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it-IT" w:eastAsia="it-IT"/>
        </w:rPr>
        <w:t>Pubblicato il testo ufficiale delle Linee Guida sulla revisione prezzi ordinaria negli appalti di servizi e forniture. Per la Consulta si apre ora la fase decisiva dell’attuazione nei bandi, nei contratti e nella gestione dell’esecuzione.</w:t>
      </w:r>
      <w:r w:rsidR="005C7ECA" w:rsidRPr="00E351C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  <w:lang w:val="it-IT" w:eastAsia="it-IT"/>
        </w:rPr>
        <w:t> </w:t>
      </w:r>
    </w:p>
    <w:p w14:paraId="6C50001C" w14:textId="77777777" w:rsidR="00D8553E" w:rsidRPr="003F7299" w:rsidRDefault="00D8553E" w:rsidP="005C7ECA">
      <w:pPr>
        <w:rPr>
          <w:rFonts w:ascii="Open Sans" w:eastAsia="Times New Roman" w:hAnsi="Open Sans" w:cs="Open Sans"/>
          <w:color w:val="000000"/>
          <w:sz w:val="14"/>
          <w:szCs w:val="14"/>
          <w:lang w:val="it-IT" w:eastAsia="it-IT"/>
        </w:rPr>
      </w:pPr>
    </w:p>
    <w:p w14:paraId="391DB6F6" w14:textId="77777777" w:rsidR="00E351CF" w:rsidRPr="00E351CF" w:rsidRDefault="3D7CA8E4" w:rsidP="00E351CF">
      <w:pPr>
        <w:pStyle w:val="NormaleWeb"/>
        <w:jc w:val="both"/>
      </w:pPr>
      <w:r w:rsidRPr="3D7CA8E4">
        <w:rPr>
          <w:rStyle w:val="Enfasigrassetto"/>
          <w:rFonts w:eastAsiaTheme="majorEastAsia"/>
          <w:b w:val="0"/>
          <w:bCs w:val="0"/>
        </w:rPr>
        <w:t xml:space="preserve">Roma, </w:t>
      </w:r>
      <w:r w:rsidR="00E351CF">
        <w:rPr>
          <w:rStyle w:val="Enfasigrassetto"/>
          <w:rFonts w:eastAsiaTheme="majorEastAsia"/>
          <w:b w:val="0"/>
          <w:bCs w:val="0"/>
        </w:rPr>
        <w:t>5</w:t>
      </w:r>
      <w:r w:rsidR="00A1332C">
        <w:rPr>
          <w:rStyle w:val="Enfasigrassetto"/>
          <w:rFonts w:eastAsiaTheme="majorEastAsia"/>
          <w:b w:val="0"/>
          <w:bCs w:val="0"/>
        </w:rPr>
        <w:t xml:space="preserve"> </w:t>
      </w:r>
      <w:r w:rsidR="00E351CF">
        <w:rPr>
          <w:rStyle w:val="Enfasigrassetto"/>
          <w:rFonts w:eastAsiaTheme="majorEastAsia"/>
          <w:b w:val="0"/>
          <w:bCs w:val="0"/>
        </w:rPr>
        <w:t>giugno</w:t>
      </w:r>
      <w:r w:rsidR="00A1332C">
        <w:rPr>
          <w:rStyle w:val="Enfasigrassetto"/>
          <w:rFonts w:eastAsiaTheme="majorEastAsia"/>
          <w:b w:val="0"/>
          <w:bCs w:val="0"/>
        </w:rPr>
        <w:t xml:space="preserve"> 2026 </w:t>
      </w:r>
      <w:r w:rsidR="00C63823">
        <w:t xml:space="preserve">- </w:t>
      </w:r>
      <w:r w:rsidR="00E351CF" w:rsidRPr="00E351CF">
        <w:t>La Consulta dei Servizi prende atto con soddisfazione della pubblicazione, da parte del Ministero delle Infrastrutture e dei Trasporti, delle Linee Guida per la corretta attuazione della revisione dei prezzi ordinaria negli appalti di servizi e forniture.</w:t>
      </w:r>
    </w:p>
    <w:p w14:paraId="4400DB6D" w14:textId="77777777" w:rsidR="00E351CF" w:rsidRPr="00E351CF" w:rsidRDefault="00E351CF" w:rsidP="00E351CF">
      <w:pPr>
        <w:pStyle w:val="NormaleWeb"/>
        <w:jc w:val="both"/>
      </w:pPr>
      <w:r w:rsidRPr="00E351CF">
        <w:t>Si tratta di un passaggio importante, atteso dal comparto, che dà seguito al percorso di confronto avviato con il Ministero, con il Viceministro Edoardo Rixi, con le istituzioni competenti e con le associazioni di rappresentanza riunite nella Consulta dei Servizi.</w:t>
      </w:r>
    </w:p>
    <w:p w14:paraId="6FEEB930" w14:textId="77777777" w:rsidR="00E351CF" w:rsidRPr="00E351CF" w:rsidRDefault="00E351CF" w:rsidP="00E351CF">
      <w:pPr>
        <w:pStyle w:val="NormaleWeb"/>
        <w:jc w:val="both"/>
      </w:pPr>
      <w:r w:rsidRPr="00E351CF">
        <w:t>Le Linee Guida riconoscono la revisione prezzi ordinaria come strumento di presidio dell’equilibrio contrattuale nei contratti di durata e forniscono alle stazioni appaltanti indicazioni operative per l’inserimento delle clausole nei documenti di gara, per la definizione degli indici applicabili, per l’accantonamento delle risorse nei quadri economici e per la gestione della fase esecutiva.</w:t>
      </w:r>
    </w:p>
    <w:p w14:paraId="3443696A" w14:textId="77777777" w:rsidR="00E351CF" w:rsidRPr="00E351CF" w:rsidRDefault="00E351CF" w:rsidP="00E351CF">
      <w:pPr>
        <w:pStyle w:val="NormaleWeb"/>
        <w:jc w:val="both"/>
      </w:pPr>
      <w:r w:rsidRPr="00E351CF">
        <w:t>Per la Consulta dei Servizi questo è un avanzamento concreto, perché interviene su uno dei nodi più rilevanti per la sostenibilità degli appalti di servizi e forniture: la necessità di evitare che l’aumento dei costi, la dinamica delle retribuzioni, la volatilità dei fattori produttivi e le condizioni di mercato compromettano l’equilibrio dei contratti, la continuità dei servizi e la tenuta delle imprese.</w:t>
      </w:r>
    </w:p>
    <w:p w14:paraId="192FCE78" w14:textId="77777777" w:rsidR="00E351CF" w:rsidRPr="00E351CF" w:rsidRDefault="00E351CF" w:rsidP="00E351CF">
      <w:pPr>
        <w:pStyle w:val="NormaleWeb"/>
        <w:jc w:val="both"/>
      </w:pPr>
      <w:r w:rsidRPr="00E351CF">
        <w:t>La Consulta sottolinea, in particolare, il valore dell’impostazione che distingue tra revisione straordinaria e revisione ordinaria, riconoscendo a quest’ultima una funzione essenziale nei contratti continuativi, periodici e ripetuti nel tempo. È una cornice utile per servizi indispensabili al funzionamento quotidiano del Paese: pulizie e sanificazioni, ristorazione collettiva, servizi ambientali e gestione dei rifiuti, vigilanza privata, servizi sociosanitari, assistenziali ed educativi, lavanolo, sterilizzazione e gestione dei dispositivi medici, facility management e altre attività essenziali svolte ogni giorno in ospedali, scuole, uffici pubblici, aziende e strutture collettive.</w:t>
      </w:r>
    </w:p>
    <w:p w14:paraId="5A108598" w14:textId="77777777" w:rsidR="00E351CF" w:rsidRPr="00E351CF" w:rsidRDefault="00E351CF" w:rsidP="00E351CF">
      <w:pPr>
        <w:pStyle w:val="NormaleWeb"/>
        <w:jc w:val="both"/>
      </w:pPr>
      <w:r w:rsidRPr="00E351CF">
        <w:lastRenderedPageBreak/>
        <w:t>La pubblicazione delle Linee Guida rappresenta quindi un primo risultato del lavoro comune portato avanti dalla Consulta dei Servizi, che riunisce 19 associazioni nazionali e 4 rappresentanze di filiera, espressione di un comparto che conta circa 45 mila imprese, quasi un milione di lavoratrici e lavoratori e genera un valore economico superiore ai 70 miliardi di euro.</w:t>
      </w:r>
    </w:p>
    <w:p w14:paraId="46E1F44E" w14:textId="77777777" w:rsidR="00E351CF" w:rsidRPr="00E351CF" w:rsidRDefault="00E351CF" w:rsidP="00E351CF">
      <w:pPr>
        <w:pStyle w:val="NormaleWeb"/>
        <w:jc w:val="both"/>
      </w:pPr>
      <w:r w:rsidRPr="00E351CF">
        <w:t>Ora, tuttavia, la fase decisiva sarà quella applicativa. Le indicazioni contenute nelle Linee Guida dovranno tradursi in clausole chiare, risorse accantonate, criteri coerenti e procedure effettivamente utilizzabili dalle stazioni appaltanti. Senza un’applicazione uniforme nei bandi e nei contratti, la revisione prezzi ordinaria rischia di restare uno strumento solo potenziale, mentre per i servizi di durata deve diventare una prassi amministrativa ordinaria, trasparente e verificabile.</w:t>
      </w:r>
    </w:p>
    <w:p w14:paraId="6566373D" w14:textId="77777777" w:rsidR="00E351CF" w:rsidRPr="00E351CF" w:rsidRDefault="00E351CF" w:rsidP="00E351CF">
      <w:pPr>
        <w:pStyle w:val="NormaleWeb"/>
        <w:jc w:val="both"/>
      </w:pPr>
      <w:r w:rsidRPr="00E351CF">
        <w:t>Pur riconoscendo il valore del traguardo raggiunto, la Consulta ritiene che esso non possa e non debba rappresentare il punto di arrivo. Le Linee Guida costituiscono un importante avanzamento interpretativo e operativo, ma il settore dei servizi continua ad avere bisogno di un definitivo riequilibrio normativo che riconosca pienamente la propria specificità economica e organizzativa rispetto al comparto dei lavori.</w:t>
      </w:r>
    </w:p>
    <w:p w14:paraId="1D621660" w14:textId="77777777" w:rsidR="00E351CF" w:rsidRPr="00E351CF" w:rsidRDefault="00E351CF" w:rsidP="00E351CF">
      <w:pPr>
        <w:pStyle w:val="NormaleWeb"/>
        <w:jc w:val="both"/>
      </w:pPr>
      <w:r w:rsidRPr="00E351CF">
        <w:t>Il tema non è soltanto tecnico. Riguarda la qualità e la continuità di servizi essenziali per cittadini, amministrazioni, lavoratrici, lavoratori e imprese. Riguarda la possibilità di costruire appalti sostenibili, capaci di reggere nel tempo e di garantire prestazioni adeguate senza scaricare sulle imprese e sulla filiera gli effetti di dinamiche economiche non governabili.</w:t>
      </w:r>
    </w:p>
    <w:p w14:paraId="1F536CED" w14:textId="4A156181" w:rsidR="005C7ECA" w:rsidRPr="005C7ECA" w:rsidRDefault="00E351CF" w:rsidP="00E351CF">
      <w:pPr>
        <w:pStyle w:val="NormaleWeb"/>
        <w:jc w:val="both"/>
      </w:pPr>
      <w:r w:rsidRPr="00E351CF">
        <w:t>Per questo la Consulta dei Servizi auspica la prosecuzione del confronto con il Ministero delle Infrastrutture e dei Trasporti, con il Governo, con il Parlamento, con le Autorità competenti e con le stazioni appaltanti, affinché le Linee Guida siano attuate in modo omogeneo e diventino parte di un quadro più stabile, equilibrato e coerente per gli appalti di servizi e forniture</w:t>
      </w:r>
      <w:r w:rsidR="005C7ECA" w:rsidRPr="005C7ECA">
        <w:t> </w:t>
      </w:r>
    </w:p>
    <w:p w14:paraId="148665ED" w14:textId="5E868E19" w:rsidR="00C63823" w:rsidRDefault="00C63823" w:rsidP="005C7ECA">
      <w:pPr>
        <w:pStyle w:val="NormaleWeb"/>
        <w:jc w:val="both"/>
      </w:pPr>
    </w:p>
    <w:p w14:paraId="1B8E091E" w14:textId="77777777" w:rsidR="00C63823" w:rsidRPr="00A1332C" w:rsidRDefault="00C63823" w:rsidP="00A1332C">
      <w:pPr>
        <w:pStyle w:val="NormaleWeb"/>
        <w:jc w:val="both"/>
      </w:pPr>
    </w:p>
    <w:p w14:paraId="5BAA7FB3" w14:textId="77777777" w:rsidR="00A1332C" w:rsidRDefault="00A1332C" w:rsidP="3D7CA8E4">
      <w:pPr>
        <w:pStyle w:val="NormaleWeb"/>
        <w:jc w:val="both"/>
      </w:pPr>
    </w:p>
    <w:p w14:paraId="063D84A3" w14:textId="0C331388" w:rsidR="007128AA" w:rsidRDefault="007128AA" w:rsidP="007128AA">
      <w:pPr>
        <w:pStyle w:val="NormaleWeb"/>
        <w:jc w:val="both"/>
      </w:pPr>
    </w:p>
    <w:p w14:paraId="5729094E" w14:textId="77777777" w:rsidR="00A1332C" w:rsidRPr="003F7299" w:rsidRDefault="00A1332C" w:rsidP="007128AA">
      <w:pPr>
        <w:pStyle w:val="NormaleWeb"/>
        <w:jc w:val="both"/>
      </w:pPr>
    </w:p>
    <w:sectPr w:rsidR="00A1332C" w:rsidRPr="003F7299" w:rsidSect="00142436">
      <w:headerReference w:type="even" r:id="rId7"/>
      <w:headerReference w:type="default" r:id="rId8"/>
      <w:footerReference w:type="default" r:id="rId9"/>
      <w:pgSz w:w="11906" w:h="16838"/>
      <w:pgMar w:top="1417" w:right="1134" w:bottom="1134" w:left="1134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3CD3" w14:textId="77777777" w:rsidR="005C7987" w:rsidRDefault="005C7987" w:rsidP="00144DB4">
      <w:r>
        <w:separator/>
      </w:r>
    </w:p>
  </w:endnote>
  <w:endnote w:type="continuationSeparator" w:id="0">
    <w:p w14:paraId="188AEB6A" w14:textId="77777777" w:rsidR="005C7987" w:rsidRDefault="005C7987" w:rsidP="001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Belong Sans Light">
    <w:altName w:val="Calibri"/>
    <w:panose1 w:val="00000000000000000000"/>
    <w:charset w:val="4D"/>
    <w:family w:val="auto"/>
    <w:notTrueType/>
    <w:pitch w:val="variable"/>
    <w:sig w:usb0="00000007" w:usb1="000004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B97C7E" w14:paraId="3C677DA9" w14:textId="77777777" w:rsidTr="003C070A">
      <w:trPr>
        <w:trHeight w:val="1270"/>
      </w:trPr>
      <w:tc>
        <w:tcPr>
          <w:tcW w:w="3210" w:type="dxa"/>
        </w:tcPr>
        <w:p w14:paraId="4BD89D1A" w14:textId="77777777" w:rsidR="30B97C7E" w:rsidRDefault="30B97C7E" w:rsidP="30B97C7E">
          <w:pPr>
            <w:pStyle w:val="Intestazione"/>
            <w:ind w:left="-115"/>
          </w:pPr>
        </w:p>
      </w:tc>
      <w:tc>
        <w:tcPr>
          <w:tcW w:w="3210" w:type="dxa"/>
        </w:tcPr>
        <w:p w14:paraId="500FC955" w14:textId="3F19C386" w:rsidR="30B97C7E" w:rsidRDefault="30B97C7E" w:rsidP="30B97C7E">
          <w:pPr>
            <w:pStyle w:val="Intestazione"/>
            <w:jc w:val="center"/>
          </w:pPr>
        </w:p>
      </w:tc>
      <w:tc>
        <w:tcPr>
          <w:tcW w:w="3210" w:type="dxa"/>
        </w:tcPr>
        <w:p w14:paraId="08ABA862" w14:textId="7D579D07" w:rsidR="30B97C7E" w:rsidRDefault="30B97C7E" w:rsidP="30B97C7E">
          <w:pPr>
            <w:pStyle w:val="Intestazione"/>
            <w:ind w:right="-115"/>
            <w:jc w:val="right"/>
          </w:pPr>
        </w:p>
      </w:tc>
    </w:tr>
  </w:tbl>
  <w:p w14:paraId="694C8FDD" w14:textId="5A6EAF57" w:rsidR="30B97C7E" w:rsidRDefault="00142436" w:rsidP="30B97C7E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29D060" wp14:editId="37C82B89">
          <wp:simplePos x="0" y="0"/>
          <wp:positionH relativeFrom="column">
            <wp:posOffset>-21590</wp:posOffset>
          </wp:positionH>
          <wp:positionV relativeFrom="page">
            <wp:posOffset>8267700</wp:posOffset>
          </wp:positionV>
          <wp:extent cx="6120130" cy="2073275"/>
          <wp:effectExtent l="0" t="0" r="0" b="3175"/>
          <wp:wrapTopAndBottom/>
          <wp:docPr id="1424005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113491" name="Immagine 1522113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07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FDD1" w14:textId="77777777" w:rsidR="005C7987" w:rsidRDefault="005C7987" w:rsidP="00144DB4">
      <w:r>
        <w:separator/>
      </w:r>
    </w:p>
  </w:footnote>
  <w:footnote w:type="continuationSeparator" w:id="0">
    <w:p w14:paraId="65FEF650" w14:textId="77777777" w:rsidR="005C7987" w:rsidRDefault="005C7987" w:rsidP="0014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563E" w14:textId="77777777" w:rsidR="00920FF8" w:rsidRDefault="00920FF8" w:rsidP="00920FF8">
    <w:pPr>
      <w:spacing w:after="86" w:line="259" w:lineRule="auto"/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</w:pP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 xml:space="preserve">CONSULTA DEI SERVIZI </w:t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  <w:t xml:space="preserve">MANIFESTO DELL’ECONOMIA DEI SERVIZI </w:t>
    </w:r>
  </w:p>
  <w:p w14:paraId="633F460A" w14:textId="77777777" w:rsidR="00920FF8" w:rsidRPr="00632428" w:rsidRDefault="00920FF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1638" w14:textId="77777777" w:rsidR="00920FF8" w:rsidRDefault="00144DB4" w:rsidP="00C62291">
    <w:pPr>
      <w:spacing w:after="86" w:line="259" w:lineRule="auto"/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</w:pP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 xml:space="preserve">CONSULTA DEI SERVIZI </w:t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</w: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ab/>
      <w:t xml:space="preserve">MANIFESTO DELL’ECONOMIA DEI SERVIZI </w:t>
    </w:r>
  </w:p>
  <w:p w14:paraId="5B3B62C5" w14:textId="3659F64D" w:rsidR="00144DB4" w:rsidRPr="003F7299" w:rsidRDefault="00144DB4" w:rsidP="00C62291">
    <w:pPr>
      <w:spacing w:after="86" w:line="259" w:lineRule="auto"/>
      <w:rPr>
        <w:rFonts w:ascii="Open Sans SemiBold" w:eastAsia="Calibri" w:hAnsi="Open Sans SemiBold" w:cs="Open Sans SemiBold"/>
        <w:b/>
        <w:bCs/>
        <w:color w:val="2F5597"/>
        <w:sz w:val="16"/>
        <w:szCs w:val="16"/>
        <w:lang w:val="it-IT"/>
      </w:rPr>
    </w:pPr>
    <w:r w:rsidRPr="00144DB4">
      <w:rPr>
        <w:rFonts w:ascii="Open Sans SemiBold" w:eastAsia="Calibri" w:hAnsi="Open Sans SemiBold" w:cs="Open Sans SemiBold"/>
        <w:b/>
        <w:bCs/>
        <w:color w:val="2F5597"/>
        <w:sz w:val="20"/>
        <w:szCs w:val="20"/>
        <w:lang w:val="it-I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AC9"/>
    <w:multiLevelType w:val="hybridMultilevel"/>
    <w:tmpl w:val="ED3CAF38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0F22480B"/>
    <w:multiLevelType w:val="multilevel"/>
    <w:tmpl w:val="15C4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5F72"/>
    <w:multiLevelType w:val="multilevel"/>
    <w:tmpl w:val="C46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470B9"/>
    <w:multiLevelType w:val="multilevel"/>
    <w:tmpl w:val="98CC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065F5"/>
    <w:multiLevelType w:val="multilevel"/>
    <w:tmpl w:val="672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30191"/>
    <w:multiLevelType w:val="multilevel"/>
    <w:tmpl w:val="AFE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30647"/>
    <w:multiLevelType w:val="multilevel"/>
    <w:tmpl w:val="1B1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520E2"/>
    <w:multiLevelType w:val="multilevel"/>
    <w:tmpl w:val="8820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040901">
    <w:abstractNumId w:val="0"/>
  </w:num>
  <w:num w:numId="2" w16cid:durableId="527138058">
    <w:abstractNumId w:val="5"/>
  </w:num>
  <w:num w:numId="3" w16cid:durableId="2038193016">
    <w:abstractNumId w:val="1"/>
  </w:num>
  <w:num w:numId="4" w16cid:durableId="1992707344">
    <w:abstractNumId w:val="2"/>
  </w:num>
  <w:num w:numId="5" w16cid:durableId="39403472">
    <w:abstractNumId w:val="3"/>
  </w:num>
  <w:num w:numId="6" w16cid:durableId="171262365">
    <w:abstractNumId w:val="6"/>
  </w:num>
  <w:num w:numId="7" w16cid:durableId="1166439946">
    <w:abstractNumId w:val="4"/>
  </w:num>
  <w:num w:numId="8" w16cid:durableId="457577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01"/>
    <w:rsid w:val="00031408"/>
    <w:rsid w:val="00031F20"/>
    <w:rsid w:val="00036F54"/>
    <w:rsid w:val="000401D7"/>
    <w:rsid w:val="000504FA"/>
    <w:rsid w:val="000653BE"/>
    <w:rsid w:val="00070CC4"/>
    <w:rsid w:val="0007563D"/>
    <w:rsid w:val="000C4AD9"/>
    <w:rsid w:val="001033DB"/>
    <w:rsid w:val="00105B19"/>
    <w:rsid w:val="0012186C"/>
    <w:rsid w:val="00133C26"/>
    <w:rsid w:val="00142436"/>
    <w:rsid w:val="00144DB4"/>
    <w:rsid w:val="00197DFD"/>
    <w:rsid w:val="001C1BAD"/>
    <w:rsid w:val="001C3513"/>
    <w:rsid w:val="001C4CE4"/>
    <w:rsid w:val="001F2C86"/>
    <w:rsid w:val="001F5A20"/>
    <w:rsid w:val="0020192F"/>
    <w:rsid w:val="00215D65"/>
    <w:rsid w:val="0022373D"/>
    <w:rsid w:val="00232A18"/>
    <w:rsid w:val="002400B5"/>
    <w:rsid w:val="00264A69"/>
    <w:rsid w:val="00264AE1"/>
    <w:rsid w:val="00272D71"/>
    <w:rsid w:val="002766A5"/>
    <w:rsid w:val="002B0FC3"/>
    <w:rsid w:val="002B2381"/>
    <w:rsid w:val="002E5953"/>
    <w:rsid w:val="0030240D"/>
    <w:rsid w:val="003102B7"/>
    <w:rsid w:val="0032733B"/>
    <w:rsid w:val="0033387C"/>
    <w:rsid w:val="0033406D"/>
    <w:rsid w:val="00352A75"/>
    <w:rsid w:val="0038084E"/>
    <w:rsid w:val="00386945"/>
    <w:rsid w:val="003900A2"/>
    <w:rsid w:val="003A4CE8"/>
    <w:rsid w:val="003A788E"/>
    <w:rsid w:val="003A7C4B"/>
    <w:rsid w:val="003B7AD0"/>
    <w:rsid w:val="003C045A"/>
    <w:rsid w:val="003C070A"/>
    <w:rsid w:val="003C10F6"/>
    <w:rsid w:val="003D50E1"/>
    <w:rsid w:val="003F7299"/>
    <w:rsid w:val="00431654"/>
    <w:rsid w:val="004566DD"/>
    <w:rsid w:val="00456F2B"/>
    <w:rsid w:val="004574C7"/>
    <w:rsid w:val="00464950"/>
    <w:rsid w:val="0049233B"/>
    <w:rsid w:val="00493486"/>
    <w:rsid w:val="004A0D71"/>
    <w:rsid w:val="004B04EF"/>
    <w:rsid w:val="004D27CD"/>
    <w:rsid w:val="004E397A"/>
    <w:rsid w:val="0050723C"/>
    <w:rsid w:val="00526E76"/>
    <w:rsid w:val="00533233"/>
    <w:rsid w:val="00547474"/>
    <w:rsid w:val="00575520"/>
    <w:rsid w:val="00582885"/>
    <w:rsid w:val="00584FB3"/>
    <w:rsid w:val="0059767B"/>
    <w:rsid w:val="005A42D2"/>
    <w:rsid w:val="005C7987"/>
    <w:rsid w:val="005C7ECA"/>
    <w:rsid w:val="005D050B"/>
    <w:rsid w:val="005D66B8"/>
    <w:rsid w:val="00600047"/>
    <w:rsid w:val="00600D80"/>
    <w:rsid w:val="00621473"/>
    <w:rsid w:val="00632250"/>
    <w:rsid w:val="00632428"/>
    <w:rsid w:val="00643802"/>
    <w:rsid w:val="00643932"/>
    <w:rsid w:val="00672257"/>
    <w:rsid w:val="0067420C"/>
    <w:rsid w:val="00677309"/>
    <w:rsid w:val="0068262D"/>
    <w:rsid w:val="006938B6"/>
    <w:rsid w:val="006A608C"/>
    <w:rsid w:val="007128AA"/>
    <w:rsid w:val="00715518"/>
    <w:rsid w:val="00722840"/>
    <w:rsid w:val="007241A2"/>
    <w:rsid w:val="00725189"/>
    <w:rsid w:val="00735859"/>
    <w:rsid w:val="007400CF"/>
    <w:rsid w:val="0075171F"/>
    <w:rsid w:val="00762B10"/>
    <w:rsid w:val="007A51DF"/>
    <w:rsid w:val="007B1742"/>
    <w:rsid w:val="007B3ED4"/>
    <w:rsid w:val="007E57D3"/>
    <w:rsid w:val="00800ACF"/>
    <w:rsid w:val="00803638"/>
    <w:rsid w:val="008258D4"/>
    <w:rsid w:val="008261BD"/>
    <w:rsid w:val="00826F7E"/>
    <w:rsid w:val="00864B94"/>
    <w:rsid w:val="00872964"/>
    <w:rsid w:val="00874156"/>
    <w:rsid w:val="008A6533"/>
    <w:rsid w:val="008E41C2"/>
    <w:rsid w:val="008E7023"/>
    <w:rsid w:val="008F030A"/>
    <w:rsid w:val="008F6288"/>
    <w:rsid w:val="00904B69"/>
    <w:rsid w:val="0091126C"/>
    <w:rsid w:val="009130BF"/>
    <w:rsid w:val="00920FF8"/>
    <w:rsid w:val="00932C37"/>
    <w:rsid w:val="00963C30"/>
    <w:rsid w:val="0096400A"/>
    <w:rsid w:val="009768D5"/>
    <w:rsid w:val="00980AD9"/>
    <w:rsid w:val="0098252B"/>
    <w:rsid w:val="00996119"/>
    <w:rsid w:val="009D557D"/>
    <w:rsid w:val="009F3BA0"/>
    <w:rsid w:val="00A00139"/>
    <w:rsid w:val="00A047D7"/>
    <w:rsid w:val="00A05962"/>
    <w:rsid w:val="00A1332C"/>
    <w:rsid w:val="00A155A2"/>
    <w:rsid w:val="00A334B4"/>
    <w:rsid w:val="00A66AAC"/>
    <w:rsid w:val="00A93C45"/>
    <w:rsid w:val="00A956F8"/>
    <w:rsid w:val="00AA63D4"/>
    <w:rsid w:val="00AB1E9B"/>
    <w:rsid w:val="00AC4DDC"/>
    <w:rsid w:val="00AE6BC8"/>
    <w:rsid w:val="00B30385"/>
    <w:rsid w:val="00B36262"/>
    <w:rsid w:val="00B460DB"/>
    <w:rsid w:val="00B50895"/>
    <w:rsid w:val="00B50ED3"/>
    <w:rsid w:val="00B546E9"/>
    <w:rsid w:val="00B565BB"/>
    <w:rsid w:val="00B659DB"/>
    <w:rsid w:val="00BC5502"/>
    <w:rsid w:val="00BD7286"/>
    <w:rsid w:val="00BE3BF5"/>
    <w:rsid w:val="00BE4A2F"/>
    <w:rsid w:val="00C12195"/>
    <w:rsid w:val="00C22A0B"/>
    <w:rsid w:val="00C3109C"/>
    <w:rsid w:val="00C346B8"/>
    <w:rsid w:val="00C3516B"/>
    <w:rsid w:val="00C37294"/>
    <w:rsid w:val="00C57859"/>
    <w:rsid w:val="00C62291"/>
    <w:rsid w:val="00C63823"/>
    <w:rsid w:val="00C82EF9"/>
    <w:rsid w:val="00C929A0"/>
    <w:rsid w:val="00CA7BCF"/>
    <w:rsid w:val="00CA7C9F"/>
    <w:rsid w:val="00CC00C9"/>
    <w:rsid w:val="00CD46D6"/>
    <w:rsid w:val="00CE10AD"/>
    <w:rsid w:val="00CF0077"/>
    <w:rsid w:val="00CF15D5"/>
    <w:rsid w:val="00D04517"/>
    <w:rsid w:val="00D402AB"/>
    <w:rsid w:val="00D40F3B"/>
    <w:rsid w:val="00D47313"/>
    <w:rsid w:val="00D56598"/>
    <w:rsid w:val="00D61C24"/>
    <w:rsid w:val="00D64E68"/>
    <w:rsid w:val="00D7314C"/>
    <w:rsid w:val="00D81232"/>
    <w:rsid w:val="00D82514"/>
    <w:rsid w:val="00D8553E"/>
    <w:rsid w:val="00D87173"/>
    <w:rsid w:val="00D87DAF"/>
    <w:rsid w:val="00DA2905"/>
    <w:rsid w:val="00DD2FC2"/>
    <w:rsid w:val="00DE01CF"/>
    <w:rsid w:val="00E15E6B"/>
    <w:rsid w:val="00E34BAF"/>
    <w:rsid w:val="00E351CF"/>
    <w:rsid w:val="00E4777E"/>
    <w:rsid w:val="00E544A1"/>
    <w:rsid w:val="00E8023F"/>
    <w:rsid w:val="00E85F2E"/>
    <w:rsid w:val="00EB6495"/>
    <w:rsid w:val="00EC1C1F"/>
    <w:rsid w:val="00EC6901"/>
    <w:rsid w:val="00EE67F2"/>
    <w:rsid w:val="00EF0D94"/>
    <w:rsid w:val="00EF150D"/>
    <w:rsid w:val="00EF2BA6"/>
    <w:rsid w:val="00F00B90"/>
    <w:rsid w:val="00F039DF"/>
    <w:rsid w:val="00F138D3"/>
    <w:rsid w:val="00F21E28"/>
    <w:rsid w:val="00F25601"/>
    <w:rsid w:val="00F42892"/>
    <w:rsid w:val="00F61D20"/>
    <w:rsid w:val="00F817F9"/>
    <w:rsid w:val="00FA15FA"/>
    <w:rsid w:val="00FC5AF9"/>
    <w:rsid w:val="00FD32BF"/>
    <w:rsid w:val="00FE3BD6"/>
    <w:rsid w:val="040B01FF"/>
    <w:rsid w:val="05EA41EC"/>
    <w:rsid w:val="09BE461B"/>
    <w:rsid w:val="0E14B67C"/>
    <w:rsid w:val="11463C97"/>
    <w:rsid w:val="177ADF08"/>
    <w:rsid w:val="30B97C7E"/>
    <w:rsid w:val="3D7CA8E4"/>
    <w:rsid w:val="3EFEF6A2"/>
    <w:rsid w:val="42348F15"/>
    <w:rsid w:val="4DC9E51C"/>
    <w:rsid w:val="4FF238EE"/>
    <w:rsid w:val="5B387512"/>
    <w:rsid w:val="64BF9463"/>
    <w:rsid w:val="669EA195"/>
    <w:rsid w:val="6A218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9358"/>
  <w15:chartTrackingRefBased/>
  <w15:docId w15:val="{8DFD36CA-DFFC-B546-A661-5D3CE55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P DEMO - Belong Sans Light" w:eastAsiaTheme="minorHAnsi" w:hAnsi="FSP DEMO - Belong Sans Light" w:cs="Calibri"/>
        <w:color w:val="000000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6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6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6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6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6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6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6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560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6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6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6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56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6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6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F25601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60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4D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DB4"/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44D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DB4"/>
    <w:rPr>
      <w:rFonts w:ascii="Times New Roman" w:eastAsia="Arial Unicode MS" w:hAnsi="Times New Roman" w:cs="Times New Roman"/>
      <w:color w:val="auto"/>
      <w:sz w:val="24"/>
      <w:szCs w:val="24"/>
      <w:bdr w:val="nil"/>
      <w:lang w:val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6A6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A608C"/>
    <w:rPr>
      <w:b/>
      <w:bCs/>
    </w:rPr>
  </w:style>
  <w:style w:type="character" w:styleId="Enfasicorsivo">
    <w:name w:val="Emphasis"/>
    <w:basedOn w:val="Carpredefinitoparagrafo"/>
    <w:uiPriority w:val="20"/>
    <w:qFormat/>
    <w:rsid w:val="006A6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valente</dc:creator>
  <cp:keywords/>
  <dc:description/>
  <cp:lastModifiedBy>Univ Segreteria</cp:lastModifiedBy>
  <cp:revision>2</cp:revision>
  <cp:lastPrinted>2026-05-29T13:00:00Z</cp:lastPrinted>
  <dcterms:created xsi:type="dcterms:W3CDTF">2026-06-08T13:21:00Z</dcterms:created>
  <dcterms:modified xsi:type="dcterms:W3CDTF">2026-06-08T13:21:00Z</dcterms:modified>
</cp:coreProperties>
</file>